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jpeg" ContentType="image/jpeg"/>
  <Override PartName="/word/media/image2.wmf" ContentType="image/x-wmf"/>
  <Override PartName="/word/embeddings/oleObject1.bin" ContentType="application/vnd.openxmlformats-officedocument.oleObjec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word/_rels/document.xml.rels" ContentType="application/vnd.openxmlformats-package.relationships+xml"/>
  <Override PartName="/customXml/item1.xml" ContentType="application/xml"/>
  <Override PartName="/customXml/itemProps3.xml" ContentType="application/vnd.openxmlformats-officedocument.customXmlProperties+xml"/>
  <Override PartName="/customXml/itemProps1.xml" ContentType="application/vnd.openxmlformats-officedocument.customXmlProperties+xml"/>
  <Override PartName="/customXml/item2.xml" ContentType="application/xml"/>
  <Override PartName="/customXml/itemProps2.xml" ContentType="application/vnd.openxmlformats-officedocument.customXmlProperties+xml"/>
  <Override PartName="/customXml/_rels/item1.xml.rels" ContentType="application/vnd.openxmlformats-package.relationships+xml"/>
  <Override PartName="/customXml/_rels/item2.xml.rels" ContentType="application/vnd.openxmlformats-package.relationships+xml"/>
  <Override PartName="/customXml/_rels/item3.xml.rels" ContentType="application/vnd.openxmlformats-package.relationships+xml"/>
  <Override PartName="/customXml/item3.xml" ContentType="application/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rPr/>
      </w:pPr>
      <w:r>
        <w:rPr/>
        <w:drawing>
          <wp:anchor behindDoc="1" distT="0" distB="0" distL="0" distR="0" simplePos="0" locked="0" layoutInCell="1" allowOverlap="1" relativeHeight="2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0" t="0" r="0" b="0"/>
            <wp:wrapNone/>
            <wp:docPr id="1" name="Obraz 1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kol pol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object>
          <v:shapetype id="_x0000_tole_rId3" coordsize="21600,21600" o:spt="ole_rId3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le_rId3" type="_x0000_tole_rId3" style="width:49.5pt;height:63pt;mso-wrap-distance-right:0pt" filled="f" o:ole="">
            <v:imagedata r:id="rId4" o:title=""/>
          </v:shape>
          <o:OLEObject Type="Embed" ProgID="CorelDraw.Graphic.15" ShapeID="ole_rId3" DrawAspect="Content" ObjectID="_494854262" r:id="rId3"/>
        </w:object>
      </w:r>
    </w:p>
    <w:p>
      <w:pPr>
        <w:pStyle w:val="Normal"/>
        <w:spacing w:lineRule="auto" w:line="276"/>
        <w:jc w:val="center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  <w:t>SYLABUS ZAJĘĆ</w:t>
      </w:r>
    </w:p>
    <w:p>
      <w:pPr>
        <w:pStyle w:val="Normal"/>
        <w:spacing w:lineRule="auto" w:line="276"/>
        <w:jc w:val="center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  <w:t>Informacje ogólne</w:t>
      </w:r>
    </w:p>
    <w:p>
      <w:pPr>
        <w:pStyle w:val="Normal"/>
        <w:spacing w:lineRule="auto" w:line="276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</w:r>
    </w:p>
    <w:tbl>
      <w:tblPr>
        <w:tblW w:w="9356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20"/>
        <w:gridCol w:w="4635"/>
      </w:tblGrid>
      <w:tr>
        <w:trPr>
          <w:trHeight w:val="397" w:hRule="atLeast"/>
        </w:trPr>
        <w:tc>
          <w:tcPr>
            <w:tcW w:w="93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Nazwa ZAJĘĆ: </w:t>
            </w:r>
            <w:r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b w:val="false"/>
                <w:bCs w:val="false"/>
                <w:i w:val="false"/>
                <w:iCs w:val="false"/>
                <w:lang w:eastAsia="en-US"/>
              </w:rPr>
              <w:t>omunikacja w zespole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Rodzaj ZAJĘĆ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>O</w:t>
            </w:r>
            <w:r>
              <w:rPr>
                <w:rFonts w:eastAsia="Calibri"/>
                <w:b/>
                <w:bCs/>
                <w:i/>
                <w:iCs/>
                <w:lang w:eastAsia="en-US"/>
              </w:rPr>
              <w:t>bowiązkowy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Wydział PUM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Wydział Nauk o Zdrowiu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Kierunek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 xml:space="preserve">Ratownictwo medyczne 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Specjalność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n/d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Poziom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jednolite magisterskie □</w:t>
            </w:r>
          </w:p>
          <w:p>
            <w:pPr>
              <w:pStyle w:val="Normal"/>
              <w:rPr>
                <w:b w:val="false"/>
                <w:bCs w:val="false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I stopnia</w:t>
            </w:r>
            <w:r>
              <w:rPr>
                <w:rFonts w:eastAsia="Calibri"/>
                <w:b w:val="false"/>
                <w:bCs w:val="false"/>
                <w:i/>
                <w:iCs/>
                <w:sz w:val="28"/>
                <w:szCs w:val="28"/>
                <w:lang w:eastAsia="en-US"/>
              </w:rPr>
              <w:t xml:space="preserve"> </w:t>
            </w:r>
            <w:r>
              <w:rPr>
                <w:rFonts w:eastAsia="Calibri"/>
                <w:b/>
                <w:bCs/>
                <w:i/>
                <w:iCs/>
                <w:sz w:val="28"/>
                <w:szCs w:val="28"/>
                <w:lang w:eastAsia="en-US"/>
              </w:rPr>
              <w:t>□</w:t>
            </w:r>
          </w:p>
          <w:p>
            <w:pPr>
              <w:pStyle w:val="Normal"/>
              <w:rPr>
                <w:b/>
                <w:bCs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 xml:space="preserve">II stopnia </w:t>
            </w:r>
            <w:r>
              <w:rPr>
                <w:rFonts w:eastAsia="Calibri"/>
                <w:b/>
                <w:bCs/>
                <w:i/>
                <w:iCs/>
                <w:lang w:eastAsia="en-US"/>
              </w:rPr>
              <w:t>X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b/>
                <w:bCs/>
                <w:i/>
                <w:lang w:eastAsia="en-US"/>
              </w:rPr>
              <w:t>nie</w:t>
            </w:r>
            <w:r>
              <w:rPr>
                <w:rFonts w:eastAsia="Calibri"/>
                <w:b/>
                <w:bCs/>
                <w:i/>
                <w:lang w:eastAsia="en-US"/>
              </w:rPr>
              <w:t>stacjonarne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Rok studiów /semestr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1</w:t>
            </w:r>
            <w:r>
              <w:rPr>
                <w:rFonts w:eastAsia="Calibri"/>
                <w:i/>
                <w:iCs/>
                <w:lang w:eastAsia="en-US"/>
              </w:rPr>
              <w:t xml:space="preserve"> rok/</w:t>
            </w:r>
            <w:r>
              <w:rPr>
                <w:rFonts w:eastAsia="Calibri"/>
                <w:i/>
                <w:iCs/>
                <w:lang w:eastAsia="en-US"/>
              </w:rPr>
              <w:t>2</w:t>
            </w:r>
            <w:r>
              <w:rPr>
                <w:rFonts w:eastAsia="Calibri"/>
                <w:i/>
                <w:iCs/>
                <w:lang w:eastAsia="en-US"/>
              </w:rPr>
              <w:t xml:space="preserve"> semestr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Liczba przypisanych punktów ECTS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3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Formy prowadzenia zajęć (liczba godzin)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 xml:space="preserve">wykłady – </w:t>
            </w:r>
            <w:r>
              <w:rPr>
                <w:rFonts w:eastAsia="Calibri"/>
                <w:i/>
                <w:iCs/>
                <w:lang w:eastAsia="en-US"/>
              </w:rPr>
              <w:t>10h</w:t>
            </w:r>
          </w:p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s</w:t>
            </w:r>
            <w:r>
              <w:rPr>
                <w:rFonts w:eastAsia="Calibri"/>
                <w:i/>
                <w:iCs/>
                <w:lang w:eastAsia="en-US"/>
              </w:rPr>
              <w:t>eminaria – 10h</w:t>
            </w:r>
          </w:p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 xml:space="preserve">ćwiczenia – </w:t>
            </w:r>
            <w:r>
              <w:rPr>
                <w:rFonts w:eastAsia="Calibri"/>
                <w:i/>
                <w:iCs/>
                <w:lang w:eastAsia="en-US"/>
              </w:rPr>
              <w:t>10h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Sposoby weryfikacji i oceny efektów uczenia się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zaliczenie na ocenę:</w:t>
            </w:r>
          </w:p>
          <w:p>
            <w:pPr>
              <w:pStyle w:val="Normal"/>
              <w:rPr>
                <w:rFonts w:eastAsia="Calibri"/>
                <w:bCs/>
                <w:i/>
                <w:i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□</w:t>
            </w:r>
            <w:r>
              <w:rPr/>
              <w:tab/>
            </w:r>
            <w:r>
              <w:rPr>
                <w:rFonts w:eastAsia="Calibri"/>
                <w:i/>
                <w:iCs/>
                <w:lang w:eastAsia="en-US"/>
              </w:rPr>
              <w:t>opisowe</w:t>
            </w:r>
          </w:p>
          <w:p>
            <w:pPr>
              <w:pStyle w:val="Normal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□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 xml:space="preserve">         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testowe</w:t>
            </w:r>
          </w:p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>X</w:t>
            </w:r>
            <w:r>
              <w:rPr/>
              <w:tab/>
            </w:r>
            <w:r>
              <w:rPr>
                <w:rFonts w:eastAsia="Calibri"/>
                <w:b/>
                <w:bCs/>
                <w:i/>
                <w:iCs/>
                <w:lang w:eastAsia="en-US"/>
              </w:rPr>
              <w:t>praktyczne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□</w:t>
            </w:r>
            <w:r>
              <w:rPr>
                <w:rFonts w:eastAsia="Calibri"/>
                <w:i/>
                <w:lang w:eastAsia="en-US"/>
              </w:rPr>
              <w:tab/>
              <w:t>ustne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</w:r>
          </w:p>
          <w:p>
            <w:pPr>
              <w:pStyle w:val="Normal"/>
              <w:numPr>
                <w:ilvl w:val="0"/>
                <w:numId w:val="5"/>
              </w:numPr>
              <w:ind w:hanging="360" w:left="347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zaliczenie bez oceny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egzamin końcowy: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opisowy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testowy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praktyczny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ustny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Kierownik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Prof. dr hab. n. zdr. Beata Karakiewicz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Adiunkt dydaktyczny lub osoba odpowiedzialna za przedmiot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mgr Krzysztof Dąbrowski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Nazwa i dane kontaktowe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Web"/>
              <w:spacing w:beforeAutospacing="0" w:before="0" w:afterAutospacing="0" w:after="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Katedra Medycyny Społecznej.</w:t>
            </w:r>
          </w:p>
          <w:p>
            <w:pPr>
              <w:pStyle w:val="NormalWeb"/>
              <w:spacing w:beforeAutospacing="0" w:before="0" w:afterAutospacing="0" w:after="0"/>
              <w:rPr>
                <w:rFonts w:eastAsia="Calibri"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Zakład Medycyny Społecznej i Zdrowia Publicznego; Pomorski Uniwersytet Medyczny w Szczecinie,</w:t>
            </w:r>
            <w:r>
              <w:rPr>
                <w:rFonts w:eastAsia="Calibri"/>
                <w:lang w:eastAsia="en-US"/>
              </w:rPr>
              <w:t xml:space="preserve"> </w:t>
            </w:r>
            <w:r>
              <w:rPr/>
              <w:br/>
            </w:r>
            <w:r>
              <w:rPr>
                <w:rFonts w:eastAsia="Calibri"/>
                <w:lang w:eastAsia="en-US"/>
              </w:rPr>
              <w:t>ul. Żołnierska 48, pok. 303,</w:t>
            </w:r>
          </w:p>
          <w:p>
            <w:pPr>
              <w:pStyle w:val="NormalWeb"/>
              <w:spacing w:beforeAutospacing="0" w:before="0" w:afterAutospacing="0" w:after="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71-210 Szczecin. tel. +48 91 48 00 920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Strona internetowa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https://www.pum.edu.pl/studenci/informacje_z_jednostek/wnoz/katedra_medycyny_spolecznej/zaklad_medycyny_spolecznej_i_zdrowia_publicznego/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Język prowadzenia zajęć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tabs>
                <w:tab w:val="clear" w:pos="708"/>
                <w:tab w:val="left" w:pos="4073" w:leader="none"/>
              </w:tabs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b/>
                <w:i/>
                <w:lang w:eastAsia="en-US"/>
              </w:rPr>
              <w:t>polski</w:t>
            </w:r>
          </w:p>
        </w:tc>
      </w:tr>
    </w:tbl>
    <w:p>
      <w:pPr>
        <w:pStyle w:val="Normal"/>
        <w:spacing w:lineRule="auto" w:line="276" w:before="0" w:after="200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</w:r>
    </w:p>
    <w:p>
      <w:pPr>
        <w:pStyle w:val="Normal"/>
        <w:spacing w:lineRule="auto" w:line="276" w:before="0" w:after="200"/>
        <w:rPr>
          <w:rFonts w:eastAsia="Calibri"/>
          <w:b/>
          <w:lang w:eastAsia="en-US"/>
        </w:rPr>
      </w:pPr>
      <w:r>
        <w:rPr>
          <w:rFonts w:eastAsia="Calibri"/>
          <w:b/>
          <w:bCs/>
          <w:lang w:eastAsia="en-US"/>
        </w:rPr>
        <w:t xml:space="preserve">     </w:t>
      </w:r>
      <w:r>
        <w:rPr>
          <w:rFonts w:eastAsia="Calibri"/>
          <w:b/>
          <w:bCs/>
          <w:lang w:eastAsia="en-US"/>
        </w:rPr>
        <w:t>*zaznaczyć odpowiednio, zmieniając □ na X</w:t>
      </w:r>
    </w:p>
    <w:p>
      <w:pPr>
        <w:pStyle w:val="Normal"/>
        <w:spacing w:lineRule="auto" w:line="276" w:before="0" w:after="200"/>
        <w:jc w:val="center"/>
        <w:rPr>
          <w:rFonts w:eastAsia="Calibri"/>
          <w:b/>
          <w:bCs/>
          <w:lang w:eastAsia="en-US"/>
        </w:rPr>
      </w:pPr>
      <w:r>
        <w:rPr>
          <w:rFonts w:eastAsia="Calibri"/>
          <w:b/>
          <w:bCs/>
          <w:lang w:eastAsia="en-US"/>
        </w:rPr>
        <w:t>Informacje szczegółowe</w:t>
      </w:r>
    </w:p>
    <w:tbl>
      <w:tblPr>
        <w:tblW w:w="9552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2392"/>
        <w:gridCol w:w="1888"/>
        <w:gridCol w:w="5272"/>
      </w:tblGrid>
      <w:tr>
        <w:trPr>
          <w:trHeight w:val="397" w:hRule="atLeast"/>
        </w:trPr>
        <w:tc>
          <w:tcPr>
            <w:tcW w:w="4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Cele zajęć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>
                <w:rFonts w:eastAsia="Calibri"/>
                <w:lang w:eastAsia="en-US"/>
              </w:rPr>
              <w:t>Celem zajęć jest nabycie przez studentów umiejętności wykorzystania technik komunikacji i kanałów komunikacji do pracy z pacjentem, jego rodziną, współpracownikami i przełożonym w celu zwiększenia efektywności współpracy w zespole opieki zdrowotnej.</w:t>
            </w:r>
          </w:p>
          <w:p>
            <w:pPr>
              <w:pStyle w:val="Normal"/>
              <w:rPr/>
            </w:pPr>
            <w:r>
              <w:rPr>
                <w:rFonts w:eastAsia="Calibri"/>
                <w:lang w:eastAsia="en-US"/>
              </w:rPr>
              <w:t>Nabycie wiedzy wykorzystania różnych socjotechnik (perswazji, wywierania wpływu) dla poprawy komunikacji interpersonalnej i efektywniejszego realizowania zamierzonych celów w pracy z pacjentem i życiu osobistym.</w:t>
            </w:r>
          </w:p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/>
            </w:pPr>
            <w:r>
              <w:rPr>
                <w:rFonts w:eastAsia="Calibri"/>
                <w:lang w:eastAsia="en-US"/>
              </w:rPr>
              <w:t>Wykształcenie umiejętności pracy własnej z przekonaniami, wartościami, tożsamością i misją, jak i pracy na tych poziomach ze współpracownikami i pacjentami.</w:t>
            </w:r>
          </w:p>
        </w:tc>
      </w:tr>
      <w:tr>
        <w:trPr>
          <w:trHeight w:val="397" w:hRule="atLeast"/>
        </w:trPr>
        <w:tc>
          <w:tcPr>
            <w:tcW w:w="23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highlight w:val="yellow"/>
                <w:lang w:eastAsia="en-US"/>
              </w:rPr>
            </w:pPr>
            <w:r>
              <w:rPr>
                <w:rFonts w:eastAsia="Calibri"/>
                <w:lang w:eastAsia="en-US"/>
              </w:rPr>
              <w:t>Wymagania wstępne w zakresie</w:t>
            </w:r>
          </w:p>
        </w:tc>
        <w:tc>
          <w:tcPr>
            <w:tcW w:w="1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i w:val="false"/>
                <w:i w:val="false"/>
                <w:iCs w:val="false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Podstawowe umiejętności komunikacyjne oraz wiedza w zakresie organizacji i funkcjonowania podstawowej opieki zdrowotnej w Polsce i na świecie, z uwzględnieniem zadań pielęgniarki i innych pracowników ochrony zdrowia</w:t>
            </w:r>
          </w:p>
        </w:tc>
      </w:tr>
      <w:tr>
        <w:trPr>
          <w:trHeight w:val="397" w:hRule="atLeast"/>
        </w:trPr>
        <w:tc>
          <w:tcPr>
            <w:tcW w:w="239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1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Współpracy w grupie i zasad działania zespołu</w:t>
            </w:r>
          </w:p>
        </w:tc>
      </w:tr>
      <w:tr>
        <w:trPr>
          <w:trHeight w:val="397" w:hRule="atLeast"/>
        </w:trPr>
        <w:tc>
          <w:tcPr>
            <w:tcW w:w="239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18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Otwartość, wrażliwość na innych oraz szacunek do rozmówcy</w:t>
            </w:r>
          </w:p>
        </w:tc>
      </w:tr>
    </w:tbl>
    <w:p>
      <w:pPr>
        <w:pStyle w:val="Normal"/>
        <w:spacing w:lineRule="auto" w:line="276" w:before="0" w:after="200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tbl>
      <w:tblPr>
        <w:tblW w:w="10065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1778"/>
        <w:gridCol w:w="2846"/>
        <w:gridCol w:w="472"/>
        <w:gridCol w:w="115"/>
        <w:gridCol w:w="614"/>
        <w:gridCol w:w="612"/>
        <w:gridCol w:w="611"/>
        <w:gridCol w:w="739"/>
        <w:gridCol w:w="485"/>
        <w:gridCol w:w="611"/>
        <w:gridCol w:w="618"/>
        <w:gridCol w:w="559"/>
        <w:gridCol w:w="3"/>
      </w:tblGrid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EFEKTY UCZENIA SIĘ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563" w:hRule="atLeast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Student, który zaliczył ZAJĘCIA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wie/umie/potrafi:</w:t>
            </w:r>
          </w:p>
        </w:tc>
        <w:tc>
          <w:tcPr>
            <w:tcW w:w="2576" w:type="dxa"/>
            <w:gridSpan w:val="4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SYMBOL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(odniesienie do)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efektów uczenia się dla kierunku</w:t>
            </w:r>
          </w:p>
        </w:tc>
        <w:tc>
          <w:tcPr>
            <w:tcW w:w="2273" w:type="dxa"/>
            <w:gridSpan w:val="4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Sposób weryfikacji efektów UCZENIA SIĘ*</w:t>
            </w:r>
          </w:p>
          <w:p>
            <w:pPr>
              <w:pStyle w:val="Normal"/>
              <w:spacing w:lineRule="auto" w:line="276"/>
              <w:jc w:val="center"/>
              <w:rPr>
                <w:b/>
                <w:strike/>
              </w:rPr>
            </w:pPr>
            <w:r>
              <w:rPr>
                <w:b/>
                <w:strike/>
              </w:rPr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</w:t>
            </w:r>
            <w:r>
              <w:rPr>
                <w:sz w:val="22"/>
                <w:szCs w:val="22"/>
              </w:rPr>
              <w:t>1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o</w:t>
            </w:r>
            <w:r>
              <w:rPr/>
              <w:t>pisać zasady komunikacji w sytuacjach typowych dla wykonywania zawodu ratownika medycznego;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B.W19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K01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aktywnie słuchać, nawiązywać kontakty interpersonalne, skutecznie i empatycznie porozumiewać się z pacjentem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>1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O, S, </w:t>
            </w:r>
            <w:r>
              <w:rPr>
                <w:sz w:val="22"/>
                <w:szCs w:val="22"/>
              </w:rPr>
              <w:t>PS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K02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 xml:space="preserve">organizować pracę własną i współpracę w zespole 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specjalistów, w tym z przedstawicielami innych zawodów medycznych, także w środowisku wielokulturowym i wielonarodowościowym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O, S, </w:t>
            </w:r>
            <w:r>
              <w:rPr>
                <w:sz w:val="22"/>
                <w:szCs w:val="22"/>
              </w:rPr>
              <w:t>PS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>03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dostrzeg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ać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 xml:space="preserve"> i rozpoznawa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ć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 xml:space="preserve"> własn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e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 xml:space="preserve"> ogranicze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nia,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 xml:space="preserve"> dokonywa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ć</w:t>
            </w:r>
            <w:r>
              <w:rPr>
                <w:rFonts w:ascii="Times New Roman" w:hAnsi="Times New Roman"/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 xml:space="preserve"> samooceny deficytów i potrzeb edukacyjnych;</w:t>
            </w:r>
          </w:p>
        </w:tc>
        <w:tc>
          <w:tcPr>
            <w:tcW w:w="2576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>5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O, S, </w:t>
            </w:r>
            <w:r>
              <w:rPr>
                <w:sz w:val="22"/>
                <w:szCs w:val="22"/>
              </w:rPr>
              <w:t>PS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spacing w:lineRule="auto" w:line="276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Tabela efektów UCZENIA SIĘ</w:t>
            </w:r>
            <w:r>
              <w:rPr>
                <w:rFonts w:eastAsia="Calibri"/>
                <w:b/>
                <w:lang w:eastAsia="en-US"/>
              </w:rPr>
              <w:t xml:space="preserve"> w odniesieniu do formy zajęć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23" w:hRule="atLeast"/>
          <w:cantSplit w:val="true"/>
        </w:trPr>
        <w:tc>
          <w:tcPr>
            <w:tcW w:w="1778" w:type="dxa"/>
            <w:vMerge w:val="restart"/>
            <w:tcBorders>
              <w:top w:val="single" w:sz="6" w:space="0" w:color="000000"/>
              <w:left w:val="single" w:sz="6" w:space="0" w:color="000000"/>
              <w:bottom w:val="double" w:sz="4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3433" w:type="dxa"/>
            <w:gridSpan w:val="3"/>
            <w:vMerge w:val="restart"/>
            <w:tcBorders>
              <w:top w:val="single" w:sz="6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Efekty uczenia się</w:t>
            </w:r>
          </w:p>
        </w:tc>
        <w:tc>
          <w:tcPr>
            <w:tcW w:w="4852" w:type="dxa"/>
            <w:gridSpan w:val="9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Forma zajęć</w:t>
            </w:r>
          </w:p>
        </w:tc>
      </w:tr>
      <w:tr>
        <w:trPr>
          <w:trHeight w:val="1561" w:hRule="atLeast"/>
          <w:cantSplit w:val="true"/>
        </w:trPr>
        <w:tc>
          <w:tcPr>
            <w:tcW w:w="1778" w:type="dxa"/>
            <w:vMerge w:val="continue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>
            <w:pPr>
              <w:pStyle w:val="Normal"/>
              <w:spacing w:lineRule="auto" w:line="276" w:before="0" w:after="200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3433" w:type="dxa"/>
            <w:gridSpan w:val="3"/>
            <w:vMerge w:val="continue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>
            <w:pPr>
              <w:pStyle w:val="Normal"/>
              <w:spacing w:lineRule="auto" w:line="276" w:before="0" w:after="200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614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Wykład</w:t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b/>
              </w:rPr>
              <w:t>Seminarium</w:t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>Ćwiczenia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>Ćwiczenia kliniczne</w:t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Symulacje</w:t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E-learning</w:t>
            </w:r>
          </w:p>
        </w:tc>
        <w:tc>
          <w:tcPr>
            <w:tcW w:w="618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PWS</w:t>
            </w:r>
          </w:p>
        </w:tc>
        <w:tc>
          <w:tcPr>
            <w:tcW w:w="562" w:type="dxa"/>
            <w:gridSpan w:val="2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W01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</w:t>
            </w:r>
            <w:r>
              <w:rPr>
                <w:sz w:val="22"/>
                <w:szCs w:val="22"/>
              </w:rPr>
              <w:t>W19</w:t>
            </w:r>
          </w:p>
        </w:tc>
        <w:tc>
          <w:tcPr>
            <w:tcW w:w="614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X</w:t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K</w:t>
            </w:r>
            <w:r>
              <w:rPr/>
              <w:t>0</w:t>
            </w:r>
            <w:r>
              <w:rPr/>
              <w:t>1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>1</w:t>
            </w:r>
          </w:p>
        </w:tc>
        <w:tc>
          <w:tcPr>
            <w:tcW w:w="614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K02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X</w:t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K03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</w:t>
            </w:r>
            <w:r>
              <w:rPr>
                <w:sz w:val="22"/>
                <w:szCs w:val="22"/>
              </w:rPr>
              <w:t>5</w:t>
            </w:r>
          </w:p>
        </w:tc>
        <w:tc>
          <w:tcPr>
            <w:tcW w:w="614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TABELA TREŚCI PROGRAMOWYCH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Lp. treści programowej</w:t>
            </w:r>
          </w:p>
        </w:tc>
        <w:tc>
          <w:tcPr>
            <w:tcW w:w="33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Treści programowe</w:t>
            </w:r>
          </w:p>
        </w:tc>
        <w:tc>
          <w:tcPr>
            <w:tcW w:w="13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Liczba godzin</w:t>
            </w:r>
          </w:p>
        </w:tc>
        <w:tc>
          <w:tcPr>
            <w:tcW w:w="362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Odniesienie do efektów uczenia się do ZAJĘĆ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72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Semestr letni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72" w:hRule="atLeast"/>
        </w:trPr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3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Wykłady:</w:t>
            </w:r>
          </w:p>
        </w:tc>
        <w:tc>
          <w:tcPr>
            <w:tcW w:w="13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10</w:t>
            </w:r>
          </w:p>
        </w:tc>
        <w:tc>
          <w:tcPr>
            <w:tcW w:w="362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</w:t>
            </w:r>
            <w:r>
              <w:rPr>
                <w:rFonts w:eastAsia="Calibri"/>
                <w:u w:val="single"/>
                <w:lang w:eastAsia="en-US"/>
              </w:rPr>
              <w:t>_</w:t>
            </w: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3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Modele i style komunikacji interpersonalnej – sposoby zarządzania i negocjowanie w zespole</w:t>
            </w:r>
          </w:p>
        </w:tc>
        <w:tc>
          <w:tcPr>
            <w:tcW w:w="13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2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K02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2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i/>
                <w:i/>
                <w:iCs/>
              </w:rPr>
            </w:pPr>
            <w:r>
              <w:rPr>
                <w:i/>
                <w:iCs/>
              </w:rPr>
              <w:t>Jak radzić sobie z konfliktem? Szukanie konsensusu w trudnych sytuacjach.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W01, K02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3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i/>
                <w:i/>
                <w:iCs/>
              </w:rPr>
            </w:pPr>
            <w:r>
              <w:rPr>
                <w:b w:val="false"/>
                <w:bCs w:val="false"/>
                <w:i/>
                <w:iCs/>
              </w:rPr>
              <w:t>Rola komunikacji niewerbalnej na pracę w zespole.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W01, K02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4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59"/>
              <w:jc w:val="left"/>
              <w:rPr>
                <w:i/>
                <w:i/>
                <w:iCs/>
                <w:u w:val="none"/>
              </w:rPr>
            </w:pPr>
            <w:r>
              <w:rPr>
                <w:b w:val="false"/>
                <w:bCs w:val="false"/>
                <w:i/>
                <w:iCs/>
                <w:u w:val="none"/>
              </w:rPr>
              <w:t>Struktura skutecznych negocjacji międzykulturowych.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W01, K02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/>
                <w:bCs/>
                <w:i w:val="false"/>
                <w:i w:val="false"/>
                <w:iCs w:val="false"/>
                <w:lang w:eastAsia="en-US"/>
              </w:rPr>
            </w:pPr>
            <w:r>
              <w:rPr>
                <w:b/>
                <w:bCs/>
                <w:i w:val="false"/>
                <w:iCs w:val="false"/>
              </w:rPr>
              <w:t>Seminaria</w:t>
            </w:r>
            <w:r>
              <w:rPr>
                <w:b/>
                <w:bCs/>
                <w:i w:val="false"/>
                <w:iCs w:val="false"/>
              </w:rPr>
              <w:t>: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10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1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Identyfikacja barier komunikacyjnych – trening komunikacji w zespole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 w:val="false"/>
                <w:bCs w:val="false"/>
                <w:lang w:eastAsia="en-US"/>
              </w:rPr>
            </w:pPr>
            <w:r>
              <w:rPr>
                <w:rFonts w:eastAsia="Calibri"/>
                <w:b w:val="false"/>
                <w:bCs w:val="false"/>
                <w:lang w:eastAsia="en-US"/>
              </w:rPr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K01-K03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2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i/>
                <w:i/>
                <w:iCs/>
              </w:rPr>
            </w:pPr>
            <w:r>
              <w:rPr>
                <w:i/>
                <w:iCs/>
              </w:rPr>
              <w:t xml:space="preserve">Podstawy zarządzania </w:t>
            </w:r>
            <w:r>
              <w:rPr>
                <w:i/>
                <w:iCs/>
              </w:rPr>
              <w:t>zespołem w</w:t>
            </w:r>
            <w:r>
              <w:rPr>
                <w:i/>
                <w:iCs/>
              </w:rPr>
              <w:t xml:space="preserve"> zakład</w:t>
            </w:r>
            <w:r>
              <w:rPr>
                <w:i/>
                <w:iCs/>
              </w:rPr>
              <w:t>ach</w:t>
            </w:r>
            <w:r>
              <w:rPr>
                <w:i/>
                <w:iCs/>
              </w:rPr>
              <w:t xml:space="preserve"> opieki zdrowotnej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 w:val="false"/>
                <w:bCs w:val="false"/>
                <w:lang w:eastAsia="en-US"/>
              </w:rPr>
            </w:pPr>
            <w:r>
              <w:rPr>
                <w:rFonts w:eastAsia="Calibri"/>
                <w:b w:val="false"/>
                <w:bCs w:val="false"/>
                <w:lang w:eastAsia="en-US"/>
              </w:rPr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K01-K03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3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i/>
                <w:i/>
                <w:iCs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Struktura skutecznej pracy w zespole – motywacja a interakcje społeczne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 w:val="false"/>
                <w:bCs w:val="false"/>
                <w:lang w:eastAsia="en-US"/>
              </w:rPr>
            </w:pPr>
            <w:r>
              <w:rPr>
                <w:rFonts w:eastAsia="Calibri"/>
                <w:b w:val="false"/>
                <w:bCs w:val="false"/>
                <w:lang w:eastAsia="en-US"/>
              </w:rPr>
              <w:t>2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K01-K03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/>
                <w:bCs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b/>
                <w:bCs/>
                <w:i w:val="false"/>
                <w:iCs w:val="false"/>
                <w:lang w:eastAsia="en-US"/>
              </w:rPr>
              <w:t>Ćwiczenia: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1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Funkcjonowanie grupy, organizacji, instytucji, populacji, społeczności i ekosystemu – teoria i ćwiczenia praktyczne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6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K01-K03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</w:t>
            </w:r>
            <w:r>
              <w:rPr>
                <w:u w:val="single"/>
              </w:rPr>
              <w:t>2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Kreatywne rozwiązywanie problemów w zespole i sztuka kompromisu</w:t>
            </w:r>
          </w:p>
        </w:tc>
        <w:tc>
          <w:tcPr>
            <w:tcW w:w="1341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K01-K03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Zalecana literatura: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Literatura podstawowa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lang w:val="fr-FR" w:eastAsia="en-US"/>
              </w:rPr>
              <w:t xml:space="preserve">1. 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Bielińska I., Jakubczyńska Z. :</w:t>
            </w:r>
            <w:r>
              <w:rPr>
                <w:rFonts w:eastAsia="Calibri"/>
                <w:i/>
                <w:iCs/>
                <w:lang w:val="fr-FR" w:eastAsia="en-US"/>
              </w:rPr>
              <w:t xml:space="preserve">Efektywny zespół. Jak razem osiągnąć więcej ? Strategie budowania silnego zespołu ; 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wyd. Samo sedno, 2016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i w:val="false"/>
                <w:iCs w:val="false"/>
                <w:lang w:val="fr-FR" w:eastAsia="en-US"/>
              </w:rPr>
              <w:t xml:space="preserve">2. Dobska M., Rogoziński K.: </w:t>
            </w:r>
            <w:r>
              <w:rPr>
                <w:rFonts w:eastAsia="Calibri"/>
                <w:i/>
                <w:iCs/>
                <w:lang w:val="fr-FR" w:eastAsia="en-US"/>
              </w:rPr>
              <w:t>Podstawy zarządzania zakładem opieki zdrowotnej 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Nukowe PWN, Warszawa 2008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Literatura uzupełniająca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1. Kwaśniewska J. M.: </w:t>
            </w:r>
            <w:r>
              <w:rPr>
                <w:rFonts w:eastAsia="Calibri"/>
                <w:i/>
                <w:iCs/>
                <w:lang w:eastAsia="en-US"/>
              </w:rPr>
              <w:t>Droga do kreacji, czyli trening twórczości XXI wieku</w:t>
            </w:r>
            <w:r>
              <w:rPr>
                <w:rFonts w:eastAsia="Calibri"/>
                <w:i w:val="false"/>
                <w:iCs w:val="false"/>
                <w:lang w:eastAsia="en-US"/>
              </w:rPr>
              <w:t>; Wyd. Naukowe PWN, Warszawa 2023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lang w:val="fr-FR" w:eastAsia="en-US"/>
              </w:rPr>
              <w:t xml:space="preserve">2. Sanchez R., Bullock D.: </w:t>
            </w:r>
            <w:r>
              <w:rPr>
                <w:rFonts w:eastAsia="Calibri"/>
                <w:i/>
                <w:iCs/>
                <w:lang w:val="fr-FR" w:eastAsia="en-US"/>
              </w:rPr>
              <w:t>Jak komunikować się efektywnie? Paszport do komunikacji globalnej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Rebis, Poznań 2022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0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i w:val="false"/>
                <w:iCs w:val="false"/>
                <w:lang w:val="fr-FR" w:eastAsia="en-US"/>
              </w:rPr>
              <w:t xml:space="preserve">3. Duhigg C.: </w:t>
            </w:r>
            <w:r>
              <w:rPr>
                <w:rFonts w:eastAsia="Calibri"/>
                <w:i/>
                <w:iCs/>
                <w:lang w:val="fr-FR" w:eastAsia="en-US"/>
              </w:rPr>
              <w:t>Siła komunikacji 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Naukowe PWN, Warszawa 2024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Nakład pracy studenta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584" w:hRule="atLeast"/>
        </w:trPr>
        <w:tc>
          <w:tcPr>
            <w:tcW w:w="462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nakładu pracy studenta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(udział w zajęciach, aktywność, przygotowanie sprawozdania, itp.)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Obciążenie studenta [h]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</w:tr>
      <w:tr>
        <w:trPr>
          <w:trHeight w:val="584" w:hRule="atLeast"/>
        </w:trPr>
        <w:tc>
          <w:tcPr>
            <w:tcW w:w="4624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 ocenie (opinii) nauczyciela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Godziny kontaktowe z nauczycielem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E-learning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ćwiczeń/seminarium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Czytanie wskazanej literatury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prac pisemnych (zadań)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15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kolokwium/kartkówki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testu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Sumaryczne obciążenie pracy studenta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75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Punkty ECTS</w:t>
            </w:r>
          </w:p>
        </w:tc>
        <w:tc>
          <w:tcPr>
            <w:tcW w:w="5436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Uwagi</w:t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ZALICZENIA:</w:t>
            </w:r>
          </w:p>
          <w:p>
            <w:pPr>
              <w:pStyle w:val="Normal"/>
              <w:rPr>
                <w:rFonts w:ascii="Times New Roman" w:hAnsi="Times New Roman"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Zaliczenie zadania zleconego przez wykładowcę ocenionego zgodnie z wytycznymi przedstawionymi na pierwszych zajęciach.</w:t>
            </w:r>
          </w:p>
          <w:p>
            <w:pPr>
              <w:pStyle w:val="Normal"/>
              <w:rPr>
                <w:rFonts w:ascii="Times New Roman" w:hAnsi="Times New Roman"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Obecność i aktywne uczestniczenie zajęciach.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WARUNEK ZALICZENIA:</w:t>
            </w:r>
          </w:p>
          <w:p>
            <w:pPr>
              <w:pStyle w:val="ListParagraph"/>
              <w:numPr>
                <w:ilvl w:val="0"/>
                <w:numId w:val="3"/>
              </w:numPr>
              <w:spacing w:lineRule="auto" w:line="240" w:beforeAutospacing="0" w:before="240" w:afterAutospacing="0" w:after="240"/>
              <w:contextualSpacing/>
              <w:jc w:val="left"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>Wykonanie i prezentacja zadania, odnoszącego się do treści zajęć zgodnie z wytycznymi wykładowcy, przedstawionymi na pierwszych zajęciach,</w:t>
            </w:r>
          </w:p>
          <w:p>
            <w:pPr>
              <w:pStyle w:val="ListParagraph"/>
              <w:numPr>
                <w:ilvl w:val="0"/>
                <w:numId w:val="2"/>
              </w:numPr>
              <w:spacing w:beforeAutospacing="0" w:before="240" w:afterAutospacing="0" w:after="240"/>
              <w:contextualSpacing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>aktywne uczestnictwo w pracach grupowych i indywidualnych podczas zajęć,</w:t>
            </w:r>
          </w:p>
          <w:p>
            <w:pPr>
              <w:pStyle w:val="ListParagraph"/>
              <w:numPr>
                <w:ilvl w:val="0"/>
                <w:numId w:val="1"/>
              </w:numPr>
              <w:spacing w:beforeAutospacing="0" w:before="240" w:afterAutospacing="0" w:after="240"/>
              <w:contextualSpacing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 xml:space="preserve">obecność na wszystkich zajęciach lub usprawiedliwienie oraz nadrobienie nieobecności (w sposób określony przez wykładowcę) </w:t>
            </w: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–</w:t>
            </w: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 xml:space="preserve"> zgodnie z Regulaminem studiów PUM.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</w:tbl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*Przykładowe sposoby weryfikacji efektów kształcenia: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EP – egzamin pisemny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EU - egzamin ustny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ET – egzamin testowy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EPR – egzamin praktyczny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K – kolokwium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R – referat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 – sprawdzenie umiejętności praktycznych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RZĆ – raport z ćwiczeń z dyskusją wyników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O - ocena aktywności i postawy studenta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SL - sprawozdanie laboratoryjne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SP – studium przypadku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PS - ocena umiejętności pracy samodzielnej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W – kartkówka przed rozpoczęciem zajęć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PM – prezentacja multimedialna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i inne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sectPr>
      <w:footerReference w:type="default" r:id="rId5"/>
      <w:type w:val="nextPage"/>
      <w:pgSz w:w="11906" w:h="16838"/>
      <w:pgMar w:left="851" w:right="991" w:gutter="0" w:header="0" w:top="567" w:footer="82" w:bottom="567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Tahoma"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Arial">
    <w:charset w:val="ee"/>
    <w:family w:val="roman"/>
    <w:pitch w:val="variable"/>
  </w:font>
  <w:font w:name="Times New Roman">
    <w:charset w:val="01"/>
    <w:family w:val="roman"/>
    <w:pitch w:val="variable"/>
  </w:font>
  <w:font w:name="Aptos">
    <w:charset w:val="01"/>
    <w:family w:val="auto"/>
    <w:pitch w:val="default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>
        <w:sz w:val="16"/>
      </w:rPr>
    </w:pPr>
    <w:r>
      <w:rPr>
        <w:sz w:val="16"/>
      </w:rPr>
    </w:r>
  </w:p>
  <w:p>
    <w:pPr>
      <w:pStyle w:val="Footer"/>
      <w:jc w:val="right"/>
      <w:rPr>
        <w:sz w:val="16"/>
      </w:rPr>
    </w:pPr>
    <w:r>
      <w:rPr>
        <w:sz w:val="16"/>
      </w:rPr>
      <w:t xml:space="preserve">Strona </w:t>
    </w:r>
    <w:r>
      <w:rPr>
        <w:b/>
        <w:sz w:val="16"/>
      </w:rPr>
      <w:fldChar w:fldCharType="begin"/>
    </w:r>
    <w:r>
      <w:rPr>
        <w:sz w:val="16"/>
        <w:b/>
      </w:rPr>
      <w:instrText xml:space="preserve"> PAGE </w:instrText>
    </w:r>
    <w:r>
      <w:rPr>
        <w:sz w:val="16"/>
        <w:b/>
      </w:rPr>
      <w:fldChar w:fldCharType="separate"/>
    </w:r>
    <w:r>
      <w:rPr>
        <w:sz w:val="16"/>
        <w:b/>
      </w:rPr>
      <w:t>5</w:t>
    </w:r>
    <w:r>
      <w:rPr>
        <w:sz w:val="16"/>
        <w:b/>
      </w:rPr>
      <w:fldChar w:fldCharType="end"/>
    </w:r>
    <w:r>
      <w:rPr>
        <w:sz w:val="16"/>
      </w:rPr>
      <w:t xml:space="preserve"> z </w:t>
    </w:r>
    <w:r>
      <w:rPr>
        <w:b/>
        <w:sz w:val="16"/>
      </w:rPr>
      <w:fldChar w:fldCharType="begin"/>
    </w:r>
    <w:r>
      <w:rPr>
        <w:sz w:val="16"/>
        <w:b/>
      </w:rPr>
      <w:instrText xml:space="preserve"> NUMPAGES </w:instrText>
    </w:r>
    <w:r>
      <w:rPr>
        <w:sz w:val="16"/>
        <w:b/>
      </w:rPr>
      <w:fldChar w:fldCharType="separate"/>
    </w:r>
    <w:r>
      <w:rPr>
        <w:sz w:val="16"/>
        <w:b/>
      </w:rPr>
      <w:t>5</w:t>
    </w:r>
    <w:r>
      <w:rPr>
        <w:sz w:val="16"/>
        <w:b/>
      </w:rPr>
      <w:fldChar w:fldCharType="end"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lvl w:ilvl="0">
      <w:start w:val="1"/>
      <w:numFmt w:val="bullet"/>
      <w:lvlText w:val="□"/>
      <w:lvlJc w:val="center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>
    <w:lvl w:ilvl="0">
      <w:start w:val="1"/>
      <w:numFmt w:val="bullet"/>
      <w:lvlText w:val="□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w="http://schemas.openxmlformats.org/wordprocessingml/2006/main">
  <w:zoom w:percent="110"/>
  <w:embedSystemFonts/>
  <w:defaultTabStop w:val="708"/>
  <w:autoHyphenation w:val="true"/>
  <w:compat>
    <w:doNotBreakWrappedTables/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Times New Roman" w:cs="Times New Roman"/>
        <w:lang w:val="pl-PL" w:eastAsia="ja-JP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567b9"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4"/>
      <w:lang w:val="pl-PL" w:eastAsia="pl-PL" w:bidi="ar-SA"/>
    </w:rPr>
  </w:style>
  <w:style w:type="paragraph" w:styleId="Heading1">
    <w:name w:val="Heading 1"/>
    <w:basedOn w:val="Normal"/>
    <w:next w:val="Normal"/>
    <w:link w:val="Nagwek1Znak"/>
    <w:qFormat/>
    <w:pPr>
      <w:keepNext w:val="true"/>
      <w:outlineLvl w:val="0"/>
    </w:pPr>
    <w:rPr>
      <w:b/>
      <w:bCs/>
    </w:rPr>
  </w:style>
  <w:style w:type="character" w:styleId="DefaultParagraphFont" w:default="1">
    <w:name w:val="Default Paragraph Font"/>
    <w:uiPriority w:val="1"/>
    <w:unhideWhenUsed/>
    <w:qFormat/>
    <w:rPr/>
  </w:style>
  <w:style w:type="character" w:styleId="Hyperlink">
    <w:name w:val="Hyperlink"/>
    <w:uiPriority w:val="99"/>
    <w:unhideWhenUsed/>
    <w:rsid w:val="00ef78c4"/>
    <w:rPr>
      <w:strike w:val="false"/>
      <w:dstrike w:val="false"/>
      <w:color w:val="BE0404"/>
      <w:u w:val="none"/>
      <w:effect w:val="none"/>
    </w:rPr>
  </w:style>
  <w:style w:type="character" w:styleId="Annotationreference">
    <w:name w:val="annotation reference"/>
    <w:uiPriority w:val="99"/>
    <w:semiHidden/>
    <w:unhideWhenUsed/>
    <w:qFormat/>
    <w:rsid w:val="00c02770"/>
    <w:rPr>
      <w:sz w:val="16"/>
      <w:szCs w:val="16"/>
    </w:rPr>
  </w:style>
  <w:style w:type="character" w:styleId="TekstkomentarzaZnak" w:customStyle="1">
    <w:name w:val="Tekst komentarza Znak"/>
    <w:basedOn w:val="DefaultParagraphFont"/>
    <w:link w:val="Annotationtext"/>
    <w:uiPriority w:val="99"/>
    <w:semiHidden/>
    <w:qFormat/>
    <w:rsid w:val="00c02770"/>
    <w:rPr/>
  </w:style>
  <w:style w:type="character" w:styleId="TematkomentarzaZnak" w:customStyle="1">
    <w:name w:val="Temat komentarza Znak"/>
    <w:link w:val="Annotationsubject"/>
    <w:uiPriority w:val="99"/>
    <w:semiHidden/>
    <w:qFormat/>
    <w:rsid w:val="00c02770"/>
    <w:rPr>
      <w:b/>
      <w:bCs/>
    </w:rPr>
  </w:style>
  <w:style w:type="character" w:styleId="TekstdymkaZnak" w:customStyle="1">
    <w:name w:val="Tekst dymka Znak"/>
    <w:link w:val="BalloonText"/>
    <w:uiPriority w:val="99"/>
    <w:semiHidden/>
    <w:qFormat/>
    <w:rsid w:val="00c02770"/>
    <w:rPr>
      <w:rFonts w:ascii="Tahoma" w:hAnsi="Tahoma" w:cs="Tahoma"/>
      <w:sz w:val="16"/>
      <w:szCs w:val="16"/>
    </w:rPr>
  </w:style>
  <w:style w:type="character" w:styleId="TekstprzypisudolnegoZnak" w:customStyle="1">
    <w:name w:val="Tekst przypisu dolnego Znak"/>
    <w:basedOn w:val="DefaultParagraphFont"/>
    <w:uiPriority w:val="99"/>
    <w:semiHidden/>
    <w:qFormat/>
    <w:rsid w:val="00190dc4"/>
    <w:rPr/>
  </w:style>
  <w:style w:type="character" w:styleId="Znakiprzypiswdolnych">
    <w:name w:val="Znaki przypisów dolnych"/>
    <w:uiPriority w:val="99"/>
    <w:semiHidden/>
    <w:unhideWhenUsed/>
    <w:qFormat/>
    <w:rsid w:val="00190dc4"/>
    <w:rPr>
      <w:vertAlign w:val="superscript"/>
    </w:rPr>
  </w:style>
  <w:style w:type="character" w:styleId="FootnoteReference">
    <w:name w:val="Footnote Reference"/>
    <w:rPr>
      <w:vertAlign w:val="superscript"/>
    </w:rPr>
  </w:style>
  <w:style w:type="character" w:styleId="Nagwek1Znak" w:customStyle="1">
    <w:name w:val="Nagłówek 1 Znak"/>
    <w:qFormat/>
    <w:rsid w:val="00190dc4"/>
    <w:rPr>
      <w:b/>
      <w:bCs/>
      <w:sz w:val="24"/>
      <w:szCs w:val="24"/>
    </w:rPr>
  </w:style>
  <w:style w:type="character" w:styleId="NagwekZnak" w:customStyle="1">
    <w:name w:val="Nagłówek Znak"/>
    <w:uiPriority w:val="99"/>
    <w:qFormat/>
    <w:rsid w:val="00146b7d"/>
    <w:rPr>
      <w:sz w:val="24"/>
      <w:szCs w:val="24"/>
    </w:rPr>
  </w:style>
  <w:style w:type="character" w:styleId="StopkaZnak" w:customStyle="1">
    <w:name w:val="Stopka Znak"/>
    <w:uiPriority w:val="99"/>
    <w:qFormat/>
    <w:rsid w:val="00146b7d"/>
    <w:rPr>
      <w:sz w:val="24"/>
      <w:szCs w:val="24"/>
    </w:rPr>
  </w:style>
  <w:style w:type="character" w:styleId="TekstprzypisukocowegoZnak" w:customStyle="1">
    <w:name w:val="Tekst przypisu końcowego Znak"/>
    <w:basedOn w:val="DefaultParagraphFont"/>
    <w:uiPriority w:val="99"/>
    <w:semiHidden/>
    <w:qFormat/>
    <w:rsid w:val="00942aac"/>
    <w:rPr/>
  </w:style>
  <w:style w:type="character" w:styleId="Znakiprzypiswkocowych">
    <w:name w:val="Znaki przypisów końcowych"/>
    <w:uiPriority w:val="99"/>
    <w:semiHidden/>
    <w:unhideWhenUsed/>
    <w:qFormat/>
    <w:rsid w:val="00942aac"/>
    <w:rPr>
      <w:vertAlign w:val="superscript"/>
    </w:rPr>
  </w:style>
  <w:style w:type="character" w:styleId="EndnoteReference">
    <w:name w:val="Endnote Reference"/>
    <w:rPr>
      <w:vertAlign w:val="superscript"/>
    </w:rPr>
  </w:style>
  <w:style w:type="character" w:styleId="UnresolvedMention">
    <w:name w:val="Unresolved Mention"/>
    <w:uiPriority w:val="99"/>
    <w:semiHidden/>
    <w:unhideWhenUsed/>
    <w:qFormat/>
    <w:rsid w:val="00c162a4"/>
    <w:rPr>
      <w:color w:val="605E5C"/>
      <w:shd w:fill="E1DFDD" w:val="clear"/>
    </w:rPr>
  </w:style>
  <w:style w:type="paragraph" w:styleId="Nagwek">
    <w:name w:val="Nagłówek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192"/>
    </w:pPr>
    <w:rPr>
      <w:rFonts w:ascii="Arial" w:hAnsi="Arial" w:cs="Arial"/>
      <w:sz w:val="28"/>
      <w:szCs w:val="20"/>
    </w:rPr>
  </w:style>
  <w:style w:type="paragraph" w:styleId="List">
    <w:name w:val="List"/>
    <w:basedOn w:val="BodyText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Lucida Sans"/>
    </w:rPr>
  </w:style>
  <w:style w:type="paragraph" w:styleId="BodyTextIndent">
    <w:name w:val="Body Text Indent"/>
    <w:basedOn w:val="Normal"/>
    <w:pPr>
      <w:spacing w:lineRule="auto" w:line="192"/>
      <w:ind w:left="360"/>
    </w:pPr>
    <w:rPr>
      <w:rFonts w:ascii="Arial" w:hAnsi="Arial" w:cs="Arial"/>
      <w:sz w:val="28"/>
      <w:szCs w:val="20"/>
    </w:rPr>
  </w:style>
  <w:style w:type="paragraph" w:styleId="NormalWeb">
    <w:name w:val="Normal (Web)"/>
    <w:basedOn w:val="Normal"/>
    <w:uiPriority w:val="99"/>
    <w:qFormat/>
    <w:rsid w:val="00e30deb"/>
    <w:pPr>
      <w:spacing w:beforeAutospacing="1" w:afterAutospacing="1"/>
    </w:pPr>
    <w:rPr/>
  </w:style>
  <w:style w:type="paragraph" w:styleId="Annotationtext">
    <w:name w:val="annotation text"/>
    <w:basedOn w:val="Normal"/>
    <w:link w:val="TekstkomentarzaZnak"/>
    <w:uiPriority w:val="99"/>
    <w:semiHidden/>
    <w:unhideWhenUsed/>
    <w:qFormat/>
    <w:rsid w:val="00c02770"/>
    <w:pPr/>
    <w:rPr>
      <w:sz w:val="20"/>
      <w:szCs w:val="20"/>
    </w:rPr>
  </w:style>
  <w:style w:type="paragraph" w:styleId="Annotationsubject">
    <w:name w:val="annotation subject"/>
    <w:basedOn w:val="Annotationtext"/>
    <w:next w:val="Annotationtext"/>
    <w:link w:val="TematkomentarzaZnak"/>
    <w:uiPriority w:val="99"/>
    <w:semiHidden/>
    <w:unhideWhenUsed/>
    <w:qFormat/>
    <w:rsid w:val="00c02770"/>
    <w:pPr/>
    <w:rPr>
      <w:b/>
      <w:bCs/>
    </w:rPr>
  </w:style>
  <w:style w:type="paragraph" w:styleId="BalloonText">
    <w:name w:val="Balloon Text"/>
    <w:basedOn w:val="Normal"/>
    <w:link w:val="TekstdymkaZnak"/>
    <w:uiPriority w:val="99"/>
    <w:semiHidden/>
    <w:unhideWhenUsed/>
    <w:qFormat/>
    <w:rsid w:val="00c02770"/>
    <w:pPr/>
    <w:rPr>
      <w:rFonts w:ascii="Tahoma" w:hAnsi="Tahoma"/>
      <w:sz w:val="16"/>
      <w:szCs w:val="16"/>
    </w:rPr>
  </w:style>
  <w:style w:type="paragraph" w:styleId="FootnoteText">
    <w:name w:val="Footnote Text"/>
    <w:basedOn w:val="Normal"/>
    <w:link w:val="TekstprzypisudolnegoZnak"/>
    <w:uiPriority w:val="99"/>
    <w:semiHidden/>
    <w:unhideWhenUsed/>
    <w:rsid w:val="00190dc4"/>
    <w:pPr/>
    <w:rPr>
      <w:sz w:val="20"/>
      <w:szCs w:val="20"/>
    </w:rPr>
  </w:style>
  <w:style w:type="paragraph" w:styleId="Gwkaistopka">
    <w:name w:val="Główka i stopka"/>
    <w:basedOn w:val="Normal"/>
    <w:qFormat/>
    <w:pPr/>
    <w:rPr/>
  </w:style>
  <w:style w:type="paragraph" w:styleId="Header">
    <w:name w:val="Header"/>
    <w:basedOn w:val="Normal"/>
    <w:link w:val="NagwekZnak"/>
    <w:uiPriority w:val="99"/>
    <w:unhideWhenUsed/>
    <w:rsid w:val="00146b7d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Footer">
    <w:name w:val="Footer"/>
    <w:basedOn w:val="Normal"/>
    <w:link w:val="StopkaZnak"/>
    <w:uiPriority w:val="99"/>
    <w:unhideWhenUsed/>
    <w:rsid w:val="00146b7d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EndnoteText">
    <w:name w:val="Endnote Text"/>
    <w:basedOn w:val="Normal"/>
    <w:link w:val="TekstprzypisukocowegoZnak"/>
    <w:uiPriority w:val="99"/>
    <w:semiHidden/>
    <w:unhideWhenUsed/>
    <w:rsid w:val="00942aac"/>
    <w:pPr/>
    <w:rPr>
      <w:sz w:val="20"/>
      <w:szCs w:val="20"/>
    </w:rPr>
  </w:style>
  <w:style w:type="paragraph" w:styleId="ListParagraph">
    <w:name w:val="List Paragraph"/>
    <w:basedOn w:val="Normal"/>
    <w:uiPriority w:val="34"/>
    <w:qFormat/>
    <w:rsid w:val="3fff7563"/>
    <w:pPr>
      <w:spacing w:before="0" w:after="0"/>
      <w:ind w:left="720"/>
      <w:contextualSpacing/>
    </w:pPr>
    <w:rPr/>
  </w:style>
  <w:style w:type="paragraph" w:styleId="Zawartotabeli">
    <w:name w:val="Zawartość tabeli"/>
    <w:basedOn w:val="Normal"/>
    <w:qFormat/>
    <w:pPr>
      <w:widowControl w:val="false"/>
      <w:suppressLineNumbers/>
    </w:pPr>
    <w:rPr/>
  </w:style>
  <w:style w:type="paragraph" w:styleId="Nagwektabeli">
    <w:name w:val="Nagłówek tabeli"/>
    <w:basedOn w:val="Zawartotabeli"/>
    <w:qFormat/>
    <w:pPr>
      <w:suppressLineNumbers/>
      <w:jc w:val="center"/>
    </w:pPr>
    <w:rPr>
      <w:b/>
      <w:bCs/>
    </w:rPr>
  </w:style>
  <w:style w:type="numbering" w:styleId="NoList" w:default="1">
    <w:name w:val="No List"/>
    <w:uiPriority w:val="99"/>
    <w:semiHidden/>
    <w:unhideWhenUsed/>
    <w:qFormat/>
  </w:style>
  <w:style w:type="table" w:default="1" w:styleId="Standardowy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oleObject" Target="embeddings/oleObject1.bin"/><Relationship Id="rId4" Type="http://schemas.openxmlformats.org/officeDocument/2006/relationships/image" Target="media/image2.wmf"/><Relationship Id="rId5" Type="http://schemas.openxmlformats.org/officeDocument/2006/relationships/footer" Target="footer1.xml"/><Relationship Id="rId6" Type="http://schemas.openxmlformats.org/officeDocument/2006/relationships/numbering" Target="numbering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<Relationship Id="rId10" Type="http://schemas.openxmlformats.org/officeDocument/2006/relationships/customXml" Target="../customXml/item1.xml"/><Relationship Id="rId11" Type="http://schemas.openxmlformats.org/officeDocument/2006/relationships/customXml" Target="../customXml/item2.xml"/><Relationship Id="rId12" Type="http://schemas.openxmlformats.org/officeDocument/2006/relationships/customXml" Target="../customXml/item3.xml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_rels/item2.xml.rels><?xml version="1.0" encoding="UTF-8"?>
<Relationships xmlns="http://schemas.openxmlformats.org/package/2006/relationships"><Relationship Id="rId1" Type="http://schemas.openxmlformats.org/officeDocument/2006/relationships/customXmlProps" Target="itemProps2.xml"/>
</Relationships>
</file>

<file path=customXml/_rels/item3.xml.rels><?xml version="1.0" encoding="UTF-8"?>
<Relationships xmlns="http://schemas.openxmlformats.org/package/2006/relationships"><Relationship Id="rId1" Type="http://schemas.openxmlformats.org/officeDocument/2006/relationships/customXmlProps" Target="itemProps3.xml"/>
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689397B8C4AAF4189A18E80A80654D9" ma:contentTypeVersion="5" ma:contentTypeDescription="Utwórz nowy dokument." ma:contentTypeScope="" ma:versionID="0debe9759c2a2cb343042fd66e72a72b">
  <xsd:schema xmlns:xsd="http://www.w3.org/2001/XMLSchema" xmlns:xs="http://www.w3.org/2001/XMLSchema" xmlns:p="http://schemas.microsoft.com/office/2006/metadata/properties" xmlns:ns2="8c6066ec-3877-49a3-b10c-18a72d7ac718" xmlns:ns3="ddb6f9a8-8ab6-4529-a38f-becb8a5be8a1" targetNamespace="http://schemas.microsoft.com/office/2006/metadata/properties" ma:root="true" ma:fieldsID="0822d46b83362b463dbde8b694a5b118" ns2:_="" ns3:_="">
    <xsd:import namespace="8c6066ec-3877-49a3-b10c-18a72d7ac718"/>
    <xsd:import namespace="ddb6f9a8-8ab6-4529-a38f-becb8a5be8a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6066ec-3877-49a3-b10c-18a72d7ac7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b6f9a8-8ab6-4529-a38f-becb8a5be8a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5796B3-F011-4620-98DC-17FD60367FB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987FAAD-EBB6-4C2E-A962-2EBF78FCC7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c6066ec-3877-49a3-b10c-18a72d7ac718"/>
    <ds:schemaRef ds:uri="ddb6f9a8-8ab6-4529-a38f-becb8a5be8a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FBFD635-B8F0-4EDC-8663-890509AF6B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Application>LibreOffice/7.6.4.1$Windows_X86_64 LibreOffice_project/e19e193f88cd6c0525a17fb7a176ed8e6a3e2aa1</Application>
  <AppVersion>15.0000</AppVersion>
  <Pages>5</Pages>
  <Words>851</Words>
  <Characters>5498</Characters>
  <CharactersWithSpaces>6155</CharactersWithSpaces>
  <Paragraphs>220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2025-02-17T12:00:00Z</dcterms:created>
  <dc:creator>agh</dc:creator>
  <dc:description/>
  <dc:language>pl-PL</dc:language>
  <cp:lastModifiedBy/>
  <cp:lastPrinted>2019-03-28T19:35:00Z</cp:lastPrinted>
  <dcterms:modified xsi:type="dcterms:W3CDTF">2025-09-29T13:55:04Z</dcterms:modified>
  <cp:revision>13</cp:revision>
  <dc:subject/>
  <dc:title>ZARZĄDZENIE REKTORA nr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